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distribute"/>
        <w:textAlignment w:val="auto"/>
        <w:rPr>
          <w:rFonts w:hint="eastAsia" w:ascii="方正小标宋简体" w:hAnsi="方正小标宋简体" w:eastAsia="方正小标宋简体" w:cs="方正小标宋简体"/>
          <w:color w:val="FF0000"/>
          <w:spacing w:val="102"/>
          <w:sz w:val="60"/>
          <w:szCs w:val="60"/>
          <w:lang w:eastAsia="zh-CN"/>
        </w:rPr>
      </w:pPr>
      <w:r>
        <w:rPr>
          <w:rFonts w:hint="eastAsia" w:ascii="方正小标宋简体" w:hAnsi="方正小标宋简体" w:eastAsia="方正小标宋简体" w:cs="方正小标宋简体"/>
          <w:color w:val="FF0000"/>
          <w:spacing w:val="102"/>
          <w:sz w:val="60"/>
          <w:szCs w:val="60"/>
          <w:lang w:eastAsia="zh-CN"/>
        </w:rPr>
        <w:t>山东省工业和信息化厅</w:t>
      </w:r>
    </w:p>
    <w:p>
      <w:pPr>
        <w:keepNext w:val="0"/>
        <w:keepLines w:val="0"/>
        <w:pageBreakBefore w:val="0"/>
        <w:kinsoku/>
        <w:wordWrap/>
        <w:overflowPunct/>
        <w:topLinePunct w:val="0"/>
        <w:autoSpaceDE/>
        <w:autoSpaceDN/>
        <w:bidi w:val="0"/>
        <w:adjustRightInd/>
        <w:snapToGrid/>
        <w:spacing w:line="560" w:lineRule="exact"/>
        <w:ind w:firstLine="640"/>
        <w:textAlignment w:val="auto"/>
        <w:rPr>
          <w:spacing w:val="40"/>
          <w:sz w:val="24"/>
          <w:szCs w:val="24"/>
        </w:rPr>
      </w:pPr>
      <w:r>
        <w:rPr>
          <w:spacing w:val="40"/>
          <w:sz w:val="36"/>
          <w:szCs w:val="36"/>
        </w:rPr>
        <mc:AlternateContent>
          <mc:Choice Requires="wps">
            <w:drawing>
              <wp:anchor distT="0" distB="0" distL="114300" distR="114300" simplePos="0" relativeHeight="251659264" behindDoc="0" locked="0" layoutInCell="1" allowOverlap="1">
                <wp:simplePos x="0" y="0"/>
                <wp:positionH relativeFrom="column">
                  <wp:posOffset>-80645</wp:posOffset>
                </wp:positionH>
                <wp:positionV relativeFrom="page">
                  <wp:posOffset>1499235</wp:posOffset>
                </wp:positionV>
                <wp:extent cx="5754370" cy="7620"/>
                <wp:effectExtent l="0" t="28575" r="17780" b="40005"/>
                <wp:wrapNone/>
                <wp:docPr id="2" name="直接连接符 2"/>
                <wp:cNvGraphicFramePr/>
                <a:graphic xmlns:a="http://schemas.openxmlformats.org/drawingml/2006/main">
                  <a:graphicData uri="http://schemas.microsoft.com/office/word/2010/wordprocessingShape">
                    <wps:wsp>
                      <wps:cNvCnPr/>
                      <wps:spPr>
                        <a:xfrm flipV="true">
                          <a:off x="0" y="0"/>
                          <a:ext cx="5754370" cy="7620"/>
                        </a:xfrm>
                        <a:prstGeom prst="line">
                          <a:avLst/>
                        </a:prstGeom>
                        <a:ln w="57150" cap="flat" cmpd="thickThin">
                          <a:solidFill>
                            <a:srgbClr val="FF0000"/>
                          </a:solidFill>
                          <a:prstDash val="solid"/>
                          <a:miter/>
                          <a:headEnd type="none" w="med" len="med"/>
                          <a:tailEnd type="none" w="med" len="med"/>
                        </a:ln>
                      </wps:spPr>
                      <wps:bodyPr upright="true"/>
                    </wps:wsp>
                  </a:graphicData>
                </a:graphic>
              </wp:anchor>
            </w:drawing>
          </mc:Choice>
          <mc:Fallback>
            <w:pict>
              <v:line id="_x0000_s1026" o:spid="_x0000_s1026" o:spt="20" style="position:absolute;left:0pt;flip:y;margin-left:-6.35pt;margin-top:118.05pt;height:0.6pt;width:453.1pt;mso-position-vertical-relative:page;z-index:251659264;mso-width-relative:page;mso-height-relative:page;" filled="f" stroked="t" coordsize="21600,21600" o:gfxdata="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FgAAAGRycy9QSwECFAAUAAAACACHTuJATYgLYtkAAAALAQAADwAAAAAAAAABACAAAAA4&#10;AAAAZHJzL2Rvd25yZXYueG1sUEsBAhQAFAAAAAgAh07iQEzdf0zzAQAAugMAAA4AAAAAAAAAAQAg&#10;AAAAPgEAAGRycy9lMm9Eb2MueG1sUEsFBgAAAAAGAAYAWQEAAKMFAAAAAA==&#10;">
                <v:fill on="f" focussize="0,0"/>
                <v:stroke weight="4.5pt" color="#FF0000" linestyle="thickThin" joinstyle="miter"/>
                <v:imagedata o:title=""/>
                <o:lock v:ext="edit" aspectratio="f"/>
              </v:line>
            </w:pict>
          </mc:Fallback>
        </mc:AlternateConten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鲁工信绿发函〔202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号</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Theme="majorEastAsia" w:hAnsiTheme="majorEastAsia" w:eastAsiaTheme="majorEastAsia" w:cstheme="majorEastAsia"/>
          <w:sz w:val="44"/>
          <w:szCs w:val="44"/>
        </w:rPr>
      </w:pP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Theme="majorEastAsia" w:hAnsiTheme="majorEastAsia" w:eastAsiaTheme="majorEastAsia" w:cstheme="majorEastAsia"/>
          <w:b/>
          <w:bCs w:val="0"/>
          <w:sz w:val="44"/>
          <w:szCs w:val="44"/>
        </w:rPr>
      </w:pP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default" w:asciiTheme="majorEastAsia" w:hAnsiTheme="majorEastAsia" w:eastAsiaTheme="majorEastAsia" w:cstheme="majorEastAsia"/>
          <w:b/>
          <w:bCs w:val="0"/>
          <w:sz w:val="44"/>
          <w:szCs w:val="44"/>
          <w:lang w:val="en-US" w:eastAsia="zh-CN"/>
        </w:rPr>
      </w:pPr>
      <w:r>
        <w:rPr>
          <w:rFonts w:hint="eastAsia" w:asciiTheme="majorEastAsia" w:hAnsiTheme="majorEastAsia" w:eastAsiaTheme="majorEastAsia" w:cstheme="majorEastAsia"/>
          <w:b/>
          <w:bCs w:val="0"/>
          <w:sz w:val="44"/>
          <w:szCs w:val="44"/>
        </w:rPr>
        <w:t>关于</w:t>
      </w:r>
      <w:r>
        <w:rPr>
          <w:rFonts w:hint="eastAsia" w:asciiTheme="majorEastAsia" w:hAnsiTheme="majorEastAsia" w:eastAsiaTheme="majorEastAsia" w:cstheme="majorEastAsia"/>
          <w:b/>
          <w:bCs w:val="0"/>
          <w:sz w:val="44"/>
          <w:szCs w:val="44"/>
          <w:lang w:eastAsia="zh-CN"/>
        </w:rPr>
        <w:t>组织</w:t>
      </w:r>
      <w:r>
        <w:rPr>
          <w:rFonts w:hint="eastAsia" w:asciiTheme="majorEastAsia" w:hAnsiTheme="majorEastAsia" w:eastAsiaTheme="majorEastAsia" w:cstheme="majorEastAsia"/>
          <w:b/>
          <w:bCs w:val="0"/>
          <w:sz w:val="44"/>
          <w:szCs w:val="44"/>
        </w:rPr>
        <w:t>开展</w:t>
      </w:r>
      <w:r>
        <w:rPr>
          <w:rFonts w:hint="default" w:ascii="Times New Roman" w:hAnsi="Times New Roman" w:cs="Times New Roman" w:eastAsiaTheme="majorEastAsia"/>
          <w:b/>
          <w:bCs w:val="0"/>
          <w:sz w:val="44"/>
          <w:szCs w:val="44"/>
        </w:rPr>
        <w:t>202</w:t>
      </w:r>
      <w:r>
        <w:rPr>
          <w:rFonts w:hint="eastAsia" w:ascii="Times New Roman" w:hAnsi="Times New Roman" w:cs="Times New Roman" w:eastAsiaTheme="majorEastAsia"/>
          <w:b/>
          <w:bCs w:val="0"/>
          <w:sz w:val="44"/>
          <w:szCs w:val="44"/>
          <w:lang w:val="en-US" w:eastAsia="zh-CN"/>
        </w:rPr>
        <w:t>6</w:t>
      </w:r>
      <w:r>
        <w:rPr>
          <w:rFonts w:hint="eastAsia" w:asciiTheme="majorEastAsia" w:hAnsiTheme="majorEastAsia" w:eastAsiaTheme="majorEastAsia" w:cstheme="majorEastAsia"/>
          <w:b/>
          <w:bCs w:val="0"/>
          <w:sz w:val="44"/>
          <w:szCs w:val="44"/>
        </w:rPr>
        <w:t>年度</w:t>
      </w:r>
      <w:r>
        <w:rPr>
          <w:rFonts w:hint="eastAsia" w:asciiTheme="majorEastAsia" w:hAnsiTheme="majorEastAsia" w:eastAsiaTheme="majorEastAsia" w:cstheme="majorEastAsia"/>
          <w:b/>
          <w:bCs w:val="0"/>
          <w:sz w:val="44"/>
          <w:szCs w:val="44"/>
          <w:lang w:eastAsia="zh-CN"/>
        </w:rPr>
        <w:t>国家级</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Theme="majorEastAsia" w:hAnsiTheme="majorEastAsia" w:eastAsiaTheme="majorEastAsia" w:cstheme="majorEastAsia"/>
          <w:b/>
          <w:bCs w:val="0"/>
          <w:sz w:val="44"/>
          <w:szCs w:val="44"/>
        </w:rPr>
      </w:pPr>
      <w:r>
        <w:rPr>
          <w:rFonts w:hint="eastAsia" w:asciiTheme="majorEastAsia" w:hAnsiTheme="majorEastAsia" w:eastAsiaTheme="majorEastAsia" w:cstheme="majorEastAsia"/>
          <w:b/>
          <w:bCs w:val="0"/>
          <w:sz w:val="44"/>
          <w:szCs w:val="44"/>
        </w:rPr>
        <w:t>绿色</w:t>
      </w:r>
      <w:r>
        <w:rPr>
          <w:rFonts w:hint="eastAsia" w:asciiTheme="majorEastAsia" w:hAnsiTheme="majorEastAsia" w:eastAsiaTheme="majorEastAsia" w:cstheme="majorEastAsia"/>
          <w:b/>
          <w:bCs w:val="0"/>
          <w:sz w:val="44"/>
          <w:szCs w:val="44"/>
          <w:lang w:eastAsia="zh-CN"/>
        </w:rPr>
        <w:t>制造单位申报</w:t>
      </w:r>
      <w:r>
        <w:rPr>
          <w:rFonts w:hint="eastAsia" w:asciiTheme="majorEastAsia" w:hAnsiTheme="majorEastAsia" w:eastAsiaTheme="majorEastAsia" w:cstheme="majorEastAsia"/>
          <w:b/>
          <w:bCs w:val="0"/>
          <w:sz w:val="44"/>
          <w:szCs w:val="44"/>
        </w:rPr>
        <w:t>工作的通知</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eastAsia="仿宋_GB2312"/>
          <w:sz w:val="32"/>
          <w:szCs w:val="32"/>
        </w:rPr>
      </w:pPr>
      <w:r>
        <w:rPr>
          <w:rFonts w:eastAsia="仿宋_GB2312"/>
          <w:sz w:val="32"/>
          <w:szCs w:val="32"/>
        </w:rPr>
        <w:t>各市工业和信息化局</w:t>
      </w:r>
      <w:r>
        <w:rPr>
          <w:rFonts w:hint="eastAsia" w:eastAsia="仿宋_GB2312"/>
          <w:sz w:val="32"/>
          <w:szCs w:val="32"/>
        </w:rPr>
        <w:t>，有关单位</w:t>
      </w:r>
      <w:r>
        <w:rPr>
          <w:rFonts w:eastAsia="仿宋_GB2312"/>
          <w:sz w:val="32"/>
          <w:szCs w:val="32"/>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按照工业和信息化部办公厅</w:t>
      </w:r>
      <w:bookmarkStart w:id="0" w:name="_GoBack"/>
      <w:bookmarkEnd w:id="0"/>
      <w:r>
        <w:rPr>
          <w:rFonts w:hint="eastAsia" w:ascii="仿宋_GB2312" w:hAnsi="仿宋_GB2312" w:eastAsia="仿宋_GB2312" w:cs="仿宋_GB2312"/>
          <w:sz w:val="32"/>
          <w:szCs w:val="32"/>
          <w:lang w:eastAsia="zh-CN"/>
        </w:rPr>
        <w:t>《关于开展202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年度绿色工厂推荐和动态管理工作的通知》（工信厅节函〔</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461号</w:t>
      </w:r>
      <w:r>
        <w:rPr>
          <w:rFonts w:hint="eastAsia" w:ascii="仿宋_GB2312" w:hAnsi="仿宋_GB2312" w:eastAsia="仿宋_GB2312" w:cs="仿宋_GB2312"/>
          <w:sz w:val="32"/>
          <w:szCs w:val="32"/>
          <w:lang w:eastAsia="zh-CN"/>
        </w:rPr>
        <w:t>）要求，现就我省组织申报推荐工作通知如下：</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一、总体要求</w:t>
      </w:r>
    </w:p>
    <w:p>
      <w:pPr>
        <w:pStyle w:val="7"/>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mc:AlternateContent>
          <mc:Choice Requires="wps">
            <w:drawing>
              <wp:anchor distT="0" distB="0" distL="114300" distR="114300" simplePos="0" relativeHeight="251658240" behindDoc="0" locked="0" layoutInCell="1" allowOverlap="1">
                <wp:simplePos x="0" y="0"/>
                <wp:positionH relativeFrom="column">
                  <wp:posOffset>-26670</wp:posOffset>
                </wp:positionH>
                <wp:positionV relativeFrom="page">
                  <wp:posOffset>9728835</wp:posOffset>
                </wp:positionV>
                <wp:extent cx="5662295" cy="7620"/>
                <wp:effectExtent l="0" t="28575" r="14605" b="40005"/>
                <wp:wrapNone/>
                <wp:docPr id="1" name="直接连接符 1"/>
                <wp:cNvGraphicFramePr/>
                <a:graphic xmlns:a="http://schemas.openxmlformats.org/drawingml/2006/main">
                  <a:graphicData uri="http://schemas.microsoft.com/office/word/2010/wordprocessingShape">
                    <wps:wsp>
                      <wps:cNvCnPr/>
                      <wps:spPr>
                        <a:xfrm flipV="true">
                          <a:off x="0" y="0"/>
                          <a:ext cx="5662295" cy="7620"/>
                        </a:xfrm>
                        <a:prstGeom prst="line">
                          <a:avLst/>
                        </a:prstGeom>
                        <a:ln w="57150" cap="flat" cmpd="thinThick">
                          <a:solidFill>
                            <a:srgbClr val="FF0000"/>
                          </a:solidFill>
                          <a:prstDash val="solid"/>
                          <a:miter/>
                          <a:headEnd type="none" w="med" len="med"/>
                          <a:tailEnd type="none" w="med" len="med"/>
                        </a:ln>
                      </wps:spPr>
                      <wps:bodyPr upright="true"/>
                    </wps:wsp>
                  </a:graphicData>
                </a:graphic>
              </wp:anchor>
            </w:drawing>
          </mc:Choice>
          <mc:Fallback>
            <w:pict>
              <v:line id="_x0000_s1026" o:spid="_x0000_s1026" o:spt="20" style="position:absolute;left:0pt;flip:y;margin-left:-2.1pt;margin-top:766.05pt;height:0.6pt;width:445.85pt;mso-position-vertical-relative:page;z-index:251658240;mso-width-relative:page;mso-height-relative:page;" filled="f" stroked="t" coordsize="21600,21600" o:gfxdata="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JvOKubZAAAADAEAAA8AAAAAAAAAAQAgAAAA&#10;OAAAAGRycy9kb3ducmV2LnhtbFBLAQIUABQAAAAIAIdO4kBWZAtr9AEAALoDAAAOAAAAAAAAAAEA&#10;IAAAAD4BAABkcnMvZTJvRG9jLnhtbFBLBQYAAAAABgAGAFkBAACkBQAAAAA=&#10;">
                <v:fill on="f" focussize="0,0"/>
                <v:stroke weight="4.5pt" color="#FF0000" linestyle="thinThick" joinstyle="miter"/>
                <v:imagedata o:title=""/>
                <o:lock v:ext="edit" aspectratio="f"/>
              </v:line>
            </w:pict>
          </mc:Fallback>
        </mc:AlternateContent>
      </w:r>
      <w:r>
        <w:rPr>
          <w:rFonts w:hint="eastAsia" w:ascii="仿宋_GB2312" w:hAnsi="仿宋_GB2312" w:eastAsia="仿宋_GB2312" w:cs="仿宋_GB2312"/>
          <w:sz w:val="32"/>
          <w:szCs w:val="32"/>
          <w:lang w:eastAsia="zh-CN"/>
        </w:rPr>
        <w:t>本年度国家级绿色制造单位包括绿色工厂、绿色供应链领航企业和绿色工业园区，申报单位需满足工业和信息化部《绿色工厂梯度培育及管理暂行办法》</w:t>
      </w:r>
      <w:r>
        <w:rPr>
          <w:rFonts w:hint="eastAsia" w:ascii="仿宋_GB2312" w:hAnsi="仿宋_GB2312" w:eastAsia="仿宋_GB2312" w:cs="仿宋_GB2312"/>
          <w:sz w:val="32"/>
          <w:szCs w:val="32"/>
          <w:lang w:val="en-US" w:eastAsia="zh-CN"/>
        </w:rPr>
        <w:t>(以下简称《办法》)</w:t>
      </w:r>
      <w:r>
        <w:rPr>
          <w:rFonts w:hint="eastAsia" w:ascii="仿宋_GB2312" w:hAnsi="仿宋_GB2312" w:eastAsia="仿宋_GB2312" w:cs="仿宋_GB2312"/>
          <w:sz w:val="32"/>
          <w:szCs w:val="32"/>
          <w:lang w:eastAsia="zh-CN"/>
        </w:rPr>
        <w:t>中的有关要求，按照自愿的原则，对照新的评价要求进行评价申报。申报企业、园区登录工业节能与绿色发展管理平台（https://green.miit.gov.cn，以下简称管理平台），管理平台提供政策解读和填报说明视频，申报单位按要求如实填报和评价，并提供有关佐证材料。各市推荐申报的绿色工厂和绿色工业园区要优于当地现有国家级绿色工厂、绿色工业园区的平均水平。</w:t>
      </w:r>
    </w:p>
    <w:p>
      <w:pPr>
        <w:pStyle w:val="7"/>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方正楷体_GBK" w:hAnsi="方正楷体_GBK" w:eastAsia="方正楷体_GBK" w:cs="方正楷体_GBK"/>
          <w:sz w:val="32"/>
          <w:szCs w:val="32"/>
          <w:lang w:eastAsia="zh-CN"/>
        </w:rPr>
        <w:t>近三年有下列情况的不得申报：</w:t>
      </w:r>
      <w:r>
        <w:rPr>
          <w:rFonts w:hint="eastAsia" w:ascii="仿宋_GB2312" w:hAnsi="仿宋_GB2312" w:eastAsia="仿宋_GB2312" w:cs="仿宋_GB2312"/>
          <w:sz w:val="32"/>
          <w:szCs w:val="32"/>
          <w:lang w:eastAsia="zh-CN"/>
        </w:rPr>
        <w:t>未正常经营生产的（工商注销、连续停产12个月以上、被市场监督管理部门列入经营异常名单且未被移出等）；发生较大及以上级别的安全（含网络安全、数据安全、生产安全等）、质量、环境污染等事故；被动态调整出名单的；从事《中华人民共和国反垄断法》规定的垄断行为；在国务院及有关部门相关督查工作中被发现存在严重问题；被列入工业节能监察整改名单且未按要求完成整改；受到有关行政主管部门比较重大以上行政处罚；被列为失信被执行人等。</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w:t>
      </w:r>
      <w:r>
        <w:rPr>
          <w:rFonts w:hint="eastAsia" w:ascii="方正黑体_GBK" w:hAnsi="方正黑体_GBK" w:eastAsia="方正黑体_GBK" w:cs="方正黑体_GBK"/>
          <w:sz w:val="32"/>
          <w:szCs w:val="32"/>
          <w:lang w:eastAsia="zh-CN"/>
        </w:rPr>
        <w:t>具体</w:t>
      </w:r>
      <w:r>
        <w:rPr>
          <w:rFonts w:hint="eastAsia" w:ascii="方正黑体_GBK" w:hAnsi="方正黑体_GBK" w:eastAsia="方正黑体_GBK" w:cs="方正黑体_GBK"/>
          <w:sz w:val="32"/>
          <w:szCs w:val="32"/>
        </w:rPr>
        <w:t>要求</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（一）绿色工厂</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申报企业登录管理平台，政策解读视频里已有绿色工厂评价标准的</w:t>
      </w:r>
      <w:r>
        <w:rPr>
          <w:rFonts w:hint="eastAsia" w:ascii="仿宋_GB2312" w:hAnsi="仿宋_GB2312" w:eastAsia="仿宋_GB2312" w:cs="仿宋_GB2312"/>
          <w:sz w:val="32"/>
          <w:szCs w:val="32"/>
          <w:lang w:val="en-US" w:eastAsia="zh-CN"/>
        </w:rPr>
        <w:t>重点行业企业</w:t>
      </w:r>
      <w:r>
        <w:rPr>
          <w:rFonts w:hint="eastAsia" w:ascii="仿宋_GB2312" w:hAnsi="仿宋_GB2312" w:eastAsia="仿宋_GB2312" w:cs="仿宋_GB2312"/>
          <w:sz w:val="32"/>
          <w:szCs w:val="32"/>
          <w:lang w:eastAsia="zh-CN"/>
        </w:rPr>
        <w:t>按照相应要求进行评价，其他行业企业按照《绿色工厂评价通则》（GB/T 36132—2025）进行评价。申报企业应为省级绿色工厂，优先推荐卓越级、领航级智能工厂</w:t>
      </w:r>
      <w:r>
        <w:rPr>
          <w:rFonts w:hint="eastAsia" w:ascii="仿宋_GB2312" w:hAnsi="仿宋_GB2312" w:eastAsia="仿宋_GB2312" w:cs="仿宋_GB2312"/>
          <w:sz w:val="32"/>
          <w:szCs w:val="32"/>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绿色供应链领航企业</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lang w:eastAsia="zh-CN"/>
        </w:rPr>
      </w:pPr>
      <w:r>
        <w:rPr>
          <w:rFonts w:hint="eastAsia" w:ascii="仿宋_GB2312" w:hAnsi="仿宋_GB2312" w:eastAsia="仿宋_GB2312" w:cs="仿宋_GB2312"/>
          <w:sz w:val="32"/>
          <w:szCs w:val="32"/>
          <w:lang w:eastAsia="zh-CN"/>
        </w:rPr>
        <w:t>申报企业登录管理平台，对照绿色供应链领航企业评价要求（附件</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进行评价，推荐企业以行业龙头企业母公司为主，优先推荐机械、汽车、船舶、电子、轻工、纺织等产业链关联性强、供应链带动作用明显、绿色低碳引领效应明显的行业以及现有省级以上绿色供应链管理企业。</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绿色工业园区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申报园区登录管理平台，按照绿色工业园区评价要求（附件</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）进行评价，申报园区的工业增加值占比应超过50%，绿色低碳发展水平领先同类园区，原则上应为省级绿色工业园区。</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（四）动态管理</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针对历年来现</w:t>
      </w:r>
      <w:r>
        <w:rPr>
          <w:rFonts w:hint="eastAsia" w:ascii="仿宋_GB2312" w:hAnsi="仿宋_GB2312" w:eastAsia="仿宋_GB2312" w:cs="仿宋_GB2312"/>
          <w:sz w:val="32"/>
          <w:szCs w:val="32"/>
        </w:rPr>
        <w:t>有国家</w:t>
      </w:r>
      <w:r>
        <w:rPr>
          <w:rFonts w:hint="eastAsia" w:ascii="仿宋_GB2312" w:hAnsi="仿宋_GB2312" w:eastAsia="仿宋_GB2312" w:cs="仿宋_GB2312"/>
          <w:sz w:val="32"/>
          <w:szCs w:val="32"/>
          <w:lang w:eastAsia="zh-CN"/>
        </w:rPr>
        <w:t>级</w:t>
      </w:r>
      <w:r>
        <w:rPr>
          <w:rFonts w:hint="eastAsia" w:ascii="仿宋_GB2312" w:hAnsi="仿宋_GB2312" w:eastAsia="仿宋_GB2312" w:cs="仿宋_GB2312"/>
          <w:sz w:val="32"/>
          <w:szCs w:val="32"/>
        </w:rPr>
        <w:t>绿色工厂、绿色工业园区，</w:t>
      </w:r>
      <w:r>
        <w:rPr>
          <w:rFonts w:hint="eastAsia" w:ascii="仿宋_GB2312" w:hAnsi="仿宋_GB2312" w:eastAsia="仿宋_GB2312" w:cs="仿宋_GB2312"/>
          <w:sz w:val="32"/>
          <w:szCs w:val="32"/>
          <w:lang w:eastAsia="zh-CN"/>
        </w:rPr>
        <w:t>各市</w:t>
      </w:r>
      <w:r>
        <w:rPr>
          <w:rFonts w:hint="eastAsia" w:ascii="仿宋_GB2312" w:hAnsi="仿宋_GB2312" w:eastAsia="仿宋_GB2312" w:cs="仿宋_GB2312"/>
          <w:sz w:val="32"/>
          <w:szCs w:val="32"/>
        </w:rPr>
        <w:t>组织</w:t>
      </w:r>
      <w:r>
        <w:rPr>
          <w:rFonts w:hint="eastAsia" w:ascii="仿宋_GB2312" w:hAnsi="仿宋_GB2312" w:eastAsia="仿宋_GB2312" w:cs="仿宋_GB2312"/>
          <w:sz w:val="32"/>
          <w:szCs w:val="32"/>
          <w:lang w:eastAsia="zh-CN"/>
        </w:rPr>
        <w:t>企业</w:t>
      </w:r>
      <w:r>
        <w:rPr>
          <w:rFonts w:hint="eastAsia" w:ascii="仿宋_GB2312" w:hAnsi="仿宋_GB2312" w:eastAsia="仿宋_GB2312" w:cs="仿宋_GB2312"/>
          <w:sz w:val="32"/>
          <w:szCs w:val="32"/>
        </w:rPr>
        <w:t>、园区登录管理平台，对照新的评价要求开展评价对标，并提供有关佐证材料</w:t>
      </w:r>
      <w:r>
        <w:rPr>
          <w:rFonts w:hint="eastAsia" w:ascii="仿宋_GB2312" w:hAnsi="仿宋_GB2312" w:eastAsia="仿宋_GB2312" w:cs="仿宋_GB2312"/>
          <w:sz w:val="32"/>
          <w:szCs w:val="32"/>
          <w:lang w:eastAsia="zh-CN"/>
        </w:rPr>
        <w:t>，完成逐级提报和复核工作，同时提供存在被移出条件和更名的单位名单。</w:t>
      </w:r>
      <w:r>
        <w:rPr>
          <w:rFonts w:hint="eastAsia" w:ascii="仿宋_GB2312" w:hAnsi="仿宋_GB2312" w:eastAsia="仿宋_GB2312" w:cs="仿宋_GB2312"/>
          <w:color w:val="auto"/>
          <w:sz w:val="32"/>
          <w:szCs w:val="32"/>
          <w:lang w:eastAsia="zh-CN"/>
        </w:rPr>
        <w:t>拒不填报的单位按照《办法》规定将被移出国家级绿色制造单位名单，</w:t>
      </w:r>
      <w:r>
        <w:rPr>
          <w:rFonts w:hint="eastAsia" w:ascii="仿宋_GB2312" w:hAnsi="仿宋_GB2312" w:eastAsia="仿宋_GB2312" w:cs="仿宋_GB2312"/>
          <w:sz w:val="32"/>
          <w:szCs w:val="32"/>
          <w:lang w:eastAsia="zh-CN"/>
        </w:rPr>
        <w:t>工业和信息化部将进行复核</w:t>
      </w:r>
      <w:r>
        <w:rPr>
          <w:rFonts w:hint="eastAsia" w:ascii="仿宋_GB2312" w:hAnsi="仿宋_GB2312" w:eastAsia="仿宋_GB2312" w:cs="仿宋_GB2312"/>
          <w:sz w:val="32"/>
          <w:szCs w:val="32"/>
        </w:rPr>
        <w:t>，实现有进有出。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w:t>
      </w:r>
      <w:r>
        <w:rPr>
          <w:rFonts w:hint="eastAsia" w:ascii="方正黑体_GBK" w:hAnsi="方正黑体_GBK" w:eastAsia="方正黑体_GBK" w:cs="方正黑体_GBK"/>
          <w:sz w:val="32"/>
          <w:szCs w:val="32"/>
          <w:lang w:eastAsia="zh-CN"/>
        </w:rPr>
        <w:t>工作</w:t>
      </w:r>
      <w:r>
        <w:rPr>
          <w:rFonts w:hint="eastAsia" w:ascii="方正黑体_GBK" w:hAnsi="方正黑体_GBK" w:eastAsia="方正黑体_GBK" w:cs="方正黑体_GBK"/>
          <w:sz w:val="32"/>
          <w:szCs w:val="32"/>
        </w:rPr>
        <w:t>要求</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jc w:val="left"/>
        <w:textAlignment w:val="auto"/>
        <w:rPr>
          <w:rFonts w:hint="eastAsia" w:ascii="仿宋_GB2312" w:hAnsi="仿宋_GB2312" w:eastAsia="仿宋_GB2312" w:cs="仿宋_GB2312"/>
          <w:sz w:val="32"/>
          <w:szCs w:val="32"/>
          <w:lang w:eastAsia="zh-CN"/>
        </w:rPr>
      </w:pPr>
      <w:r>
        <w:rPr>
          <w:rFonts w:hint="eastAsia" w:ascii="方正楷体_GBK" w:hAnsi="方正楷体_GBK" w:eastAsia="方正楷体_GBK" w:cs="方正楷体_GBK"/>
          <w:sz w:val="32"/>
          <w:szCs w:val="32"/>
          <w:lang w:eastAsia="zh-CN"/>
        </w:rPr>
        <w:t>（一）加强业务指导。</w:t>
      </w:r>
      <w:r>
        <w:rPr>
          <w:rFonts w:hint="eastAsia" w:ascii="仿宋_GB2312" w:hAnsi="仿宋_GB2312" w:eastAsia="仿宋_GB2312" w:cs="仿宋_GB2312"/>
          <w:sz w:val="32"/>
          <w:szCs w:val="32"/>
          <w:lang w:eastAsia="zh-CN"/>
        </w:rPr>
        <w:t>各级工信部门要组织企业、园区加强新标准新要求的学习培训，指导企业尽早登录管理平台学习政策解读及填报要求，确保每一个申报单位熟悉掌握政策。</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方正楷体_GBK" w:hAnsi="方正楷体_GBK" w:eastAsia="方正楷体_GBK" w:cs="方正楷体_GBK"/>
          <w:sz w:val="32"/>
          <w:szCs w:val="32"/>
          <w:lang w:eastAsia="zh-CN"/>
        </w:rPr>
        <w:t>（二）严格审核把关。</w:t>
      </w:r>
      <w:r>
        <w:rPr>
          <w:rFonts w:eastAsia="仿宋_GB2312"/>
          <w:sz w:val="32"/>
          <w:szCs w:val="32"/>
        </w:rPr>
        <w:t>各</w:t>
      </w:r>
      <w:r>
        <w:rPr>
          <w:rFonts w:hint="eastAsia" w:eastAsia="仿宋_GB2312"/>
          <w:sz w:val="32"/>
          <w:szCs w:val="32"/>
          <w:lang w:eastAsia="zh-CN"/>
        </w:rPr>
        <w:t>级</w:t>
      </w:r>
      <w:r>
        <w:rPr>
          <w:rFonts w:hint="eastAsia" w:eastAsia="仿宋_GB2312"/>
          <w:sz w:val="32"/>
          <w:szCs w:val="32"/>
        </w:rPr>
        <w:t>工业和信息化</w:t>
      </w:r>
      <w:r>
        <w:rPr>
          <w:rFonts w:hint="eastAsia" w:eastAsia="仿宋_GB2312"/>
          <w:sz w:val="32"/>
          <w:szCs w:val="32"/>
          <w:lang w:eastAsia="zh-CN"/>
        </w:rPr>
        <w:t>部门</w:t>
      </w:r>
      <w:r>
        <w:rPr>
          <w:rFonts w:hint="eastAsia" w:ascii="仿宋_GB2312" w:hAnsi="仿宋_GB2312" w:eastAsia="仿宋_GB2312" w:cs="仿宋_GB2312"/>
          <w:sz w:val="32"/>
          <w:szCs w:val="32"/>
        </w:rPr>
        <w:t>要加大对</w:t>
      </w:r>
      <w:r>
        <w:rPr>
          <w:rFonts w:hint="eastAsia" w:ascii="仿宋_GB2312" w:hAnsi="仿宋_GB2312" w:eastAsia="仿宋_GB2312" w:cs="仿宋_GB2312"/>
          <w:sz w:val="32"/>
          <w:szCs w:val="32"/>
          <w:lang w:eastAsia="zh-CN"/>
        </w:rPr>
        <w:t>申报</w:t>
      </w:r>
      <w:r>
        <w:rPr>
          <w:rFonts w:hint="eastAsia" w:ascii="仿宋_GB2312" w:hAnsi="仿宋_GB2312" w:eastAsia="仿宋_GB2312" w:cs="仿宋_GB2312"/>
          <w:sz w:val="32"/>
          <w:szCs w:val="32"/>
        </w:rPr>
        <w:t>企业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园区的各项评价指标数据和佐证材料真实性、准确性、先进性的审核力度，</w:t>
      </w:r>
      <w:r>
        <w:rPr>
          <w:rFonts w:hint="eastAsia" w:ascii="仿宋_GB2312" w:hAnsi="仿宋_GB2312" w:eastAsia="仿宋_GB2312" w:cs="仿宋_GB2312"/>
          <w:sz w:val="32"/>
          <w:szCs w:val="32"/>
          <w:lang w:eastAsia="zh-CN"/>
        </w:rPr>
        <w:t>要深入申报单位进行现场指导，</w:t>
      </w:r>
      <w:r>
        <w:rPr>
          <w:rFonts w:hint="eastAsia" w:ascii="仿宋_GB2312" w:hAnsi="仿宋_GB2312" w:eastAsia="仿宋_GB2312" w:cs="仿宋_GB2312"/>
          <w:sz w:val="32"/>
          <w:szCs w:val="32"/>
        </w:rPr>
        <w:t>确保推荐质量。</w:t>
      </w:r>
      <w:r>
        <w:rPr>
          <w:rFonts w:hint="eastAsia" w:ascii="仿宋_GB2312" w:hAnsi="仿宋_GB2312" w:eastAsia="仿宋_GB2312" w:cs="仿宋_GB2312"/>
          <w:sz w:val="32"/>
          <w:szCs w:val="32"/>
          <w:lang w:eastAsia="zh-CN"/>
        </w:rPr>
        <w:t>要</w:t>
      </w:r>
      <w:r>
        <w:rPr>
          <w:rFonts w:eastAsia="仿宋_GB2312"/>
          <w:sz w:val="32"/>
          <w:szCs w:val="32"/>
        </w:rPr>
        <w:t>充分征求当地</w:t>
      </w:r>
      <w:r>
        <w:rPr>
          <w:rFonts w:hint="eastAsia" w:eastAsia="仿宋_GB2312"/>
          <w:sz w:val="32"/>
          <w:szCs w:val="32"/>
          <w:lang w:eastAsia="zh-CN"/>
        </w:rPr>
        <w:t>发改、</w:t>
      </w:r>
      <w:r>
        <w:rPr>
          <w:rFonts w:eastAsia="仿宋_GB2312"/>
          <w:sz w:val="32"/>
          <w:szCs w:val="32"/>
        </w:rPr>
        <w:t>生态环境、应急管理、市场监管等部门意见</w:t>
      </w:r>
      <w:r>
        <w:rPr>
          <w:rFonts w:hint="eastAsia" w:eastAsia="仿宋_GB2312"/>
          <w:sz w:val="32"/>
          <w:szCs w:val="32"/>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三</w:t>
      </w: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按时</w:t>
      </w:r>
      <w:r>
        <w:rPr>
          <w:rFonts w:hint="eastAsia" w:ascii="方正楷体_GBK" w:hAnsi="方正楷体_GBK" w:eastAsia="方正楷体_GBK" w:cs="方正楷体_GBK"/>
          <w:sz w:val="32"/>
          <w:szCs w:val="32"/>
        </w:rPr>
        <w:t>推荐</w:t>
      </w:r>
      <w:r>
        <w:rPr>
          <w:rFonts w:hint="eastAsia" w:ascii="方正楷体_GBK" w:hAnsi="方正楷体_GBK" w:eastAsia="方正楷体_GBK" w:cs="方正楷体_GBK"/>
          <w:sz w:val="32"/>
          <w:szCs w:val="32"/>
          <w:lang w:eastAsia="zh-CN"/>
        </w:rPr>
        <w:t>上报</w:t>
      </w:r>
      <w:r>
        <w:rPr>
          <w:rFonts w:hint="eastAsia" w:ascii="方正楷体_GBK" w:hAnsi="方正楷体_GBK" w:eastAsia="方正楷体_GBK" w:cs="方正楷体_GBK"/>
          <w:sz w:val="32"/>
          <w:szCs w:val="32"/>
        </w:rPr>
        <w:t>。</w:t>
      </w:r>
      <w:r>
        <w:rPr>
          <w:rFonts w:hint="eastAsia" w:eastAsia="仿宋_GB2312"/>
          <w:sz w:val="32"/>
          <w:szCs w:val="32"/>
        </w:rPr>
        <w:t>各</w:t>
      </w:r>
      <w:r>
        <w:rPr>
          <w:rFonts w:hint="eastAsia" w:ascii="仿宋_GB2312" w:hAnsi="仿宋_GB2312" w:eastAsia="仿宋_GB2312" w:cs="仿宋_GB2312"/>
          <w:kern w:val="0"/>
          <w:sz w:val="32"/>
          <w:szCs w:val="32"/>
          <w:lang w:val="en-US" w:eastAsia="zh-CN" w:bidi="ar"/>
        </w:rPr>
        <w:t>市工业和信息化局在管理平台及时完成审核提报，对符合要求的企业、园区出具开展对标情况和推荐意见，填写“2026年国家级绿色制造单位推荐汇总表”（附件4），上述材料盖章版以及电子版，于2026年10月 25</w:t>
      </w:r>
      <w:r>
        <w:rPr>
          <w:rFonts w:eastAsia="仿宋_GB2312"/>
          <w:sz w:val="32"/>
          <w:szCs w:val="32"/>
        </w:rPr>
        <w:t>日</w:t>
      </w:r>
      <w:r>
        <w:rPr>
          <w:rFonts w:hint="eastAsia" w:ascii="仿宋_GB2312" w:hAnsi="仿宋_GB2312" w:eastAsia="仿宋_GB2312" w:cs="仿宋_GB2312"/>
          <w:sz w:val="32"/>
          <w:szCs w:val="32"/>
        </w:rPr>
        <w:t>前</w:t>
      </w:r>
      <w:r>
        <w:rPr>
          <w:rFonts w:hint="eastAsia" w:ascii="仿宋_GB2312" w:hAnsi="仿宋_GB2312" w:eastAsia="仿宋_GB2312" w:cs="仿宋_GB2312"/>
          <w:sz w:val="32"/>
          <w:szCs w:val="32"/>
          <w:lang w:eastAsia="zh-CN"/>
        </w:rPr>
        <w:t>在管理平台完成</w:t>
      </w:r>
      <w:r>
        <w:rPr>
          <w:rFonts w:hint="eastAsia" w:ascii="仿宋_GB2312" w:hAnsi="仿宋_GB2312" w:eastAsia="仿宋_GB2312" w:cs="仿宋_GB2312"/>
          <w:sz w:val="32"/>
          <w:szCs w:val="32"/>
        </w:rPr>
        <w:t>报送</w:t>
      </w:r>
      <w:r>
        <w:rPr>
          <w:rFonts w:hint="eastAsia" w:ascii="仿宋_GB2312" w:hAnsi="仿宋_GB2312" w:eastAsia="仿宋_GB2312" w:cs="仿宋_GB2312"/>
          <w:sz w:val="32"/>
          <w:szCs w:val="32"/>
          <w:lang w:eastAsia="zh-CN"/>
        </w:rPr>
        <w:t>工作。另外，各市工信局要将推荐企业和园区在平台上填报的基本信息表和基本要求两项材料汇总形成电子版（每个申报单位一份）统一报送邮箱：</w:t>
      </w:r>
      <w:r>
        <w:rPr>
          <w:rFonts w:hint="eastAsia" w:ascii="仿宋_GB2312" w:hAnsi="仿宋_GB2312" w:eastAsia="仿宋_GB2312" w:cs="仿宋_GB2312"/>
          <w:sz w:val="32"/>
          <w:szCs w:val="32"/>
          <w:lang w:val="en-US" w:eastAsia="zh-CN"/>
        </w:rPr>
        <w:t>sgxtls@shandong.cn。</w:t>
      </w:r>
      <w:r>
        <w:rPr>
          <w:rFonts w:hint="eastAsia" w:ascii="仿宋_GB2312" w:hAnsi="仿宋_GB2312" w:eastAsia="仿宋_GB2312" w:cs="仿宋_GB2312"/>
          <w:sz w:val="32"/>
          <w:szCs w:val="32"/>
        </w:rPr>
        <w:t>省工信厅</w:t>
      </w:r>
      <w:r>
        <w:rPr>
          <w:rFonts w:hint="eastAsia" w:ascii="仿宋_GB2312" w:hAnsi="仿宋_GB2312" w:eastAsia="仿宋_GB2312" w:cs="仿宋_GB2312"/>
          <w:sz w:val="32"/>
          <w:szCs w:val="32"/>
          <w:lang w:eastAsia="zh-CN"/>
        </w:rPr>
        <w:t>将</w:t>
      </w:r>
      <w:r>
        <w:rPr>
          <w:rFonts w:hint="eastAsia" w:ascii="仿宋_GB2312" w:hAnsi="仿宋_GB2312" w:eastAsia="仿宋_GB2312" w:cs="仿宋_GB2312"/>
          <w:sz w:val="32"/>
          <w:szCs w:val="32"/>
        </w:rPr>
        <w:t>组织</w:t>
      </w:r>
      <w:r>
        <w:rPr>
          <w:rFonts w:hint="eastAsia" w:ascii="仿宋_GB2312" w:hAnsi="仿宋_GB2312" w:eastAsia="仿宋_GB2312" w:cs="仿宋_GB2312"/>
          <w:sz w:val="32"/>
          <w:szCs w:val="32"/>
          <w:lang w:eastAsia="zh-CN"/>
        </w:rPr>
        <w:t>专家</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eastAsia="zh-CN"/>
        </w:rPr>
        <w:t>所有</w:t>
      </w:r>
      <w:r>
        <w:rPr>
          <w:rFonts w:hint="eastAsia" w:ascii="仿宋_GB2312" w:hAnsi="仿宋_GB2312" w:eastAsia="仿宋_GB2312" w:cs="仿宋_GB2312"/>
          <w:sz w:val="32"/>
          <w:szCs w:val="32"/>
        </w:rPr>
        <w:t>申报材料进行评审论证，必要时进行现场核查</w:t>
      </w:r>
      <w:r>
        <w:rPr>
          <w:rFonts w:hint="eastAsia" w:ascii="仿宋_GB2312" w:hAnsi="仿宋_GB2312" w:eastAsia="仿宋_GB2312" w:cs="仿宋_GB2312"/>
          <w:sz w:val="32"/>
          <w:szCs w:val="32"/>
          <w:lang w:eastAsia="zh-CN"/>
        </w:rPr>
        <w:t>，择优遴选推荐上报工业和信息化部</w:t>
      </w:r>
      <w:r>
        <w:rPr>
          <w:rFonts w:hint="eastAsia" w:ascii="仿宋_GB2312" w:hAnsi="仿宋_GB2312" w:eastAsia="仿宋_GB2312" w:cs="仿宋_GB2312"/>
          <w:sz w:val="32"/>
          <w:szCs w:val="32"/>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eastAsia="zh-CN"/>
        </w:rPr>
        <w:t>：杨士海、</w:t>
      </w:r>
      <w:r>
        <w:rPr>
          <w:rFonts w:hint="eastAsia" w:ascii="仿宋_GB2312" w:hAnsi="仿宋_GB2312" w:eastAsia="仿宋_GB2312" w:cs="仿宋_GB2312"/>
          <w:sz w:val="32"/>
          <w:szCs w:val="32"/>
        </w:rPr>
        <w:t>陈亮 电话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0531- 51782678</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51782679</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eastAsia="仿宋_GB2312"/>
          <w:sz w:val="32"/>
          <w:szCs w:val="32"/>
        </w:rPr>
      </w:pP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r>
        <w:rPr>
          <w:rFonts w:hint="eastAsia" w:ascii="仿宋_GB2312" w:hAnsi="仿宋_GB2312" w:eastAsia="仿宋_GB2312" w:cs="仿宋_GB2312"/>
          <w:sz w:val="32"/>
          <w:szCs w:val="32"/>
          <w:lang w:eastAsia="zh-CN"/>
        </w:rPr>
        <w:t>绿色供应链领航企业评价要求</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1617" w:leftChars="0" w:right="0" w:rightChars="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 xml:space="preserve">绿色工业园区评价要求 </w:t>
      </w:r>
      <w:r>
        <w:rPr>
          <w:rFonts w:hint="eastAsia" w:ascii="仿宋_GB2312" w:hAnsi="仿宋_GB2312" w:eastAsia="仿宋_GB2312" w:cs="仿宋_GB2312"/>
          <w:sz w:val="32"/>
          <w:szCs w:val="32"/>
          <w:lang w:val="en-US" w:eastAsia="zh-CN"/>
        </w:rPr>
        <w:t xml:space="preserve">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1600" w:firstLineChars="5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3.重点行业清单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1600" w:firstLineChars="5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4.××市2026年国家级绿色制造单位推荐汇总表</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4478" w:leftChars="304" w:hanging="3840" w:hangingChars="1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山东省工业和信息化厅                                           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 xml:space="preserve">日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jc w:val="left"/>
        <w:textAlignment w:val="auto"/>
        <w:rPr>
          <w:rFonts w:hint="eastAsia" w:ascii="仿宋_GB2312" w:hAnsi="仿宋_GB2312" w:eastAsia="仿宋_GB2312" w:cs="仿宋_GB2312"/>
          <w:sz w:val="32"/>
          <w:szCs w:val="32"/>
        </w:rPr>
      </w:pPr>
    </w:p>
    <w:sectPr>
      <w:footerReference r:id="rId3" w:type="default"/>
      <w:pgSz w:w="11906" w:h="16838"/>
      <w:pgMar w:top="1497" w:right="1576" w:bottom="1497"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9FE540"/>
    <w:multiLevelType w:val="singleLevel"/>
    <w:tmpl w:val="6F9FE54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1AFB628D"/>
    <w:rsid w:val="1EDB4F09"/>
    <w:rsid w:val="353BAC45"/>
    <w:rsid w:val="43F719F6"/>
    <w:rsid w:val="4A1947CF"/>
    <w:rsid w:val="5BFD6061"/>
    <w:rsid w:val="6FAF5A13"/>
    <w:rsid w:val="7AEC944A"/>
    <w:rsid w:val="7AEF8D67"/>
    <w:rsid w:val="7B79054D"/>
    <w:rsid w:val="7CFFDC51"/>
    <w:rsid w:val="7E5C7E22"/>
    <w:rsid w:val="7EEA3DCC"/>
    <w:rsid w:val="7FF65276"/>
    <w:rsid w:val="7FFE8F38"/>
    <w:rsid w:val="B75D41E0"/>
    <w:rsid w:val="BA7B23C6"/>
    <w:rsid w:val="BFF79C2D"/>
    <w:rsid w:val="DB5F7F34"/>
    <w:rsid w:val="DFC77395"/>
    <w:rsid w:val="DFCCB71C"/>
    <w:rsid w:val="EFB72F10"/>
    <w:rsid w:val="EFCF9748"/>
    <w:rsid w:val="EFED9A74"/>
    <w:rsid w:val="EFFE97EF"/>
    <w:rsid w:val="F6D78A6A"/>
    <w:rsid w:val="F7CF56ED"/>
    <w:rsid w:val="F8FEF437"/>
    <w:rsid w:val="FBFE526B"/>
    <w:rsid w:val="FD0FCF98"/>
    <w:rsid w:val="FD7F5D7E"/>
    <w:rsid w:val="FDFE086B"/>
    <w:rsid w:val="FFDBCB58"/>
    <w:rsid w:val="FFFFC2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itle"/>
    <w:basedOn w:val="1"/>
    <w:next w:val="1"/>
    <w:qFormat/>
    <w:uiPriority w:val="0"/>
    <w:pPr>
      <w:spacing w:before="240" w:after="60"/>
      <w:jc w:val="center"/>
      <w:outlineLvl w:val="0"/>
    </w:pPr>
    <w:rPr>
      <w:rFonts w:ascii="Arial" w:hAnsi="Arial"/>
      <w:b/>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2018-07-16T15:11:00Z</dcterms:created>
  <dc:creator>d</dc:creator>
  <cp:lastModifiedBy>user</cp:lastModifiedBy>
  <cp:lastPrinted>2025-10-15T00:53:00Z</cp:lastPrinted>
  <dcterms:modified xsi:type="dcterms:W3CDTF">2026-09-30T14:38:17Z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