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682921">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jc w:val="center"/>
        <w:textAlignment w:val="baseline"/>
        <w:rPr>
          <w:rFonts w:hint="eastAsia" w:asciiTheme="minorEastAsia" w:hAnsiTheme="minorEastAsia" w:eastAsiaTheme="minorEastAsia" w:cstheme="minorEastAsia"/>
          <w:b w:val="0"/>
          <w:bCs w:val="0"/>
          <w:snapToGrid w:val="0"/>
          <w:color w:val="000000"/>
          <w:kern w:val="0"/>
          <w:sz w:val="36"/>
          <w:szCs w:val="36"/>
          <w:lang w:val="en-US" w:eastAsia="zh-CN" w:bidi="ar"/>
        </w:rPr>
      </w:pPr>
      <w:r>
        <w:rPr>
          <w:rFonts w:hint="eastAsia" w:asciiTheme="minorEastAsia" w:hAnsiTheme="minorEastAsia" w:eastAsiaTheme="minorEastAsia" w:cstheme="minorEastAsia"/>
          <w:b w:val="0"/>
          <w:bCs w:val="0"/>
          <w:snapToGrid w:val="0"/>
          <w:color w:val="000000"/>
          <w:kern w:val="0"/>
          <w:sz w:val="36"/>
          <w:szCs w:val="36"/>
          <w:lang w:val="en-US" w:eastAsia="zh-CN" w:bidi="ar"/>
        </w:rPr>
        <w:t>关于转发省工信厅《关于组织开展2026年度再生资源综合利用行业规范条件企业申报并做好已公告企业事中事后监管工作的通知》的通知</w:t>
      </w:r>
    </w:p>
    <w:p w14:paraId="4CB36972">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auto"/>
        <w:jc w:val="left"/>
        <w:textAlignment w:val="baseline"/>
        <w:rPr>
          <w:rFonts w:hint="eastAsia" w:ascii="仿宋_GB2312" w:hAnsi="仿宋_GB2312" w:eastAsia="仿宋_GB2312" w:cs="仿宋_GB2312"/>
          <w:snapToGrid w:val="0"/>
          <w:color w:val="000000"/>
          <w:kern w:val="0"/>
          <w:sz w:val="36"/>
          <w:szCs w:val="36"/>
          <w:lang w:val="en-US" w:eastAsia="zh-CN" w:bidi="ar"/>
        </w:rPr>
      </w:pPr>
    </w:p>
    <w:p w14:paraId="1D1C2BAA">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auto"/>
        <w:jc w:val="left"/>
        <w:textAlignment w:val="baseline"/>
        <w:rPr>
          <w:rFonts w:hint="eastAsia" w:ascii="仿宋" w:hAnsi="仿宋" w:eastAsia="仿宋" w:cs="仿宋"/>
          <w:snapToGrid w:val="0"/>
          <w:color w:val="000000"/>
          <w:kern w:val="0"/>
          <w:sz w:val="32"/>
          <w:szCs w:val="32"/>
          <w:lang w:val="en-US" w:eastAsia="zh-CN" w:bidi="ar"/>
        </w:rPr>
      </w:pPr>
      <w:r>
        <w:rPr>
          <w:rFonts w:hint="eastAsia" w:ascii="仿宋" w:hAnsi="仿宋" w:eastAsia="仿宋" w:cs="仿宋"/>
          <w:snapToGrid w:val="0"/>
          <w:color w:val="000000"/>
          <w:kern w:val="0"/>
          <w:sz w:val="32"/>
          <w:szCs w:val="32"/>
          <w:lang w:val="en-US" w:eastAsia="zh-CN" w:bidi="ar"/>
        </w:rPr>
        <w:t>各镇街：</w:t>
      </w:r>
    </w:p>
    <w:p w14:paraId="7DD9B6C3">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auto"/>
        <w:ind w:firstLine="640" w:firstLineChars="200"/>
        <w:jc w:val="left"/>
        <w:textAlignment w:val="baseline"/>
        <w:rPr>
          <w:rFonts w:hint="eastAsia" w:ascii="仿宋" w:hAnsi="仿宋" w:cs="仿宋"/>
          <w:snapToGrid w:val="0"/>
          <w:color w:val="000000"/>
          <w:kern w:val="0"/>
          <w:sz w:val="32"/>
          <w:szCs w:val="32"/>
          <w:lang w:val="en-US" w:eastAsia="zh-CN" w:bidi="ar"/>
        </w:rPr>
      </w:pPr>
      <w:bookmarkStart w:id="0" w:name="_GoBack"/>
      <w:r>
        <w:rPr>
          <w:rFonts w:hint="eastAsia" w:ascii="仿宋" w:hAnsi="仿宋" w:cs="仿宋"/>
          <w:snapToGrid w:val="0"/>
          <w:color w:val="000000"/>
          <w:kern w:val="0"/>
          <w:sz w:val="32"/>
          <w:szCs w:val="32"/>
          <w:lang w:val="en-US" w:eastAsia="zh-CN" w:bidi="ar"/>
        </w:rPr>
        <w:t>现将省工信厅</w:t>
      </w:r>
      <w:r>
        <w:rPr>
          <w:rFonts w:hint="eastAsia" w:ascii="仿宋" w:hAnsi="仿宋" w:eastAsia="仿宋" w:cs="仿宋"/>
          <w:b w:val="0"/>
          <w:bCs w:val="0"/>
          <w:snapToGrid w:val="0"/>
          <w:color w:val="000000"/>
          <w:kern w:val="0"/>
          <w:sz w:val="32"/>
          <w:szCs w:val="32"/>
          <w:lang w:val="en-US" w:eastAsia="zh-CN" w:bidi="ar"/>
        </w:rPr>
        <w:t>《关于组织开展2026年度再生资源综合利用行业规范条件企业申报并做好已公告企业事中事后监管工作的通知》</w:t>
      </w:r>
      <w:r>
        <w:rPr>
          <w:rFonts w:hint="eastAsia" w:ascii="仿宋" w:hAnsi="仿宋" w:cs="仿宋"/>
          <w:b w:val="0"/>
          <w:bCs w:val="0"/>
          <w:snapToGrid w:val="0"/>
          <w:color w:val="000000"/>
          <w:kern w:val="0"/>
          <w:sz w:val="32"/>
          <w:szCs w:val="32"/>
          <w:lang w:val="en-US" w:eastAsia="zh-CN" w:bidi="ar"/>
        </w:rPr>
        <w:t>转发给你们</w:t>
      </w:r>
      <w:r>
        <w:rPr>
          <w:rFonts w:hint="eastAsia" w:ascii="仿宋" w:hAnsi="仿宋" w:eastAsia="仿宋" w:cs="仿宋"/>
          <w:snapToGrid w:val="0"/>
          <w:color w:val="000000"/>
          <w:kern w:val="0"/>
          <w:sz w:val="32"/>
          <w:szCs w:val="32"/>
          <w:lang w:val="en-US" w:eastAsia="zh-CN" w:bidi="ar"/>
        </w:rPr>
        <w:t>，请</w:t>
      </w:r>
      <w:r>
        <w:rPr>
          <w:rFonts w:hint="eastAsia" w:ascii="仿宋" w:hAnsi="仿宋" w:cs="仿宋"/>
          <w:snapToGrid w:val="0"/>
          <w:color w:val="000000"/>
          <w:kern w:val="0"/>
          <w:sz w:val="32"/>
          <w:szCs w:val="32"/>
          <w:lang w:val="en-US" w:eastAsia="zh-CN" w:bidi="ar"/>
        </w:rPr>
        <w:t>各镇街组织</w:t>
      </w:r>
      <w:r>
        <w:rPr>
          <w:rFonts w:hint="eastAsia" w:ascii="仿宋" w:hAnsi="仿宋" w:eastAsia="仿宋" w:cs="仿宋"/>
          <w:snapToGrid w:val="0"/>
          <w:color w:val="000000"/>
          <w:kern w:val="0"/>
          <w:sz w:val="32"/>
          <w:szCs w:val="32"/>
          <w:lang w:val="en-US" w:eastAsia="zh-CN" w:bidi="ar"/>
        </w:rPr>
        <w:t>辖区</w:t>
      </w:r>
      <w:r>
        <w:rPr>
          <w:rFonts w:hint="eastAsia" w:ascii="仿宋" w:hAnsi="仿宋" w:cs="仿宋"/>
          <w:snapToGrid w:val="0"/>
          <w:color w:val="000000"/>
          <w:kern w:val="0"/>
          <w:sz w:val="32"/>
          <w:szCs w:val="32"/>
          <w:lang w:val="en-US" w:eastAsia="zh-CN" w:bidi="ar"/>
        </w:rPr>
        <w:t>内符合申报条件的</w:t>
      </w:r>
      <w:r>
        <w:rPr>
          <w:rFonts w:hint="eastAsia" w:ascii="仿宋" w:hAnsi="仿宋" w:eastAsia="仿宋" w:cs="仿宋"/>
          <w:snapToGrid w:val="0"/>
          <w:color w:val="000000"/>
          <w:kern w:val="0"/>
          <w:sz w:val="32"/>
          <w:szCs w:val="32"/>
          <w:lang w:val="en-US" w:eastAsia="zh-CN" w:bidi="ar"/>
        </w:rPr>
        <w:t>企业</w:t>
      </w:r>
      <w:r>
        <w:rPr>
          <w:rFonts w:hint="eastAsia" w:ascii="仿宋" w:hAnsi="仿宋" w:cs="仿宋"/>
          <w:snapToGrid w:val="0"/>
          <w:color w:val="000000"/>
          <w:kern w:val="0"/>
          <w:sz w:val="32"/>
          <w:szCs w:val="32"/>
          <w:lang w:val="en-US" w:eastAsia="zh-CN" w:bidi="ar"/>
        </w:rPr>
        <w:t>按照通知要求进行</w:t>
      </w:r>
      <w:r>
        <w:rPr>
          <w:rFonts w:hint="eastAsia" w:ascii="仿宋" w:hAnsi="仿宋" w:eastAsia="仿宋" w:cs="仿宋"/>
          <w:snapToGrid w:val="0"/>
          <w:color w:val="000000"/>
          <w:kern w:val="0"/>
          <w:sz w:val="32"/>
          <w:szCs w:val="32"/>
          <w:lang w:val="en-US" w:eastAsia="zh-CN" w:bidi="ar"/>
        </w:rPr>
        <w:t>申报</w:t>
      </w:r>
      <w:r>
        <w:rPr>
          <w:rFonts w:hint="eastAsia" w:ascii="仿宋" w:hAnsi="仿宋" w:cs="仿宋"/>
          <w:snapToGrid w:val="0"/>
          <w:color w:val="000000"/>
          <w:kern w:val="0"/>
          <w:sz w:val="32"/>
          <w:szCs w:val="32"/>
          <w:lang w:val="en-US" w:eastAsia="zh-CN" w:bidi="ar"/>
        </w:rPr>
        <w:t>，</w:t>
      </w:r>
      <w:bookmarkEnd w:id="0"/>
      <w:r>
        <w:rPr>
          <w:rFonts w:hint="eastAsia" w:ascii="仿宋" w:hAnsi="仿宋" w:eastAsia="仿宋" w:cs="仿宋"/>
          <w:snapToGrid w:val="0"/>
          <w:color w:val="000000"/>
          <w:kern w:val="0"/>
          <w:sz w:val="32"/>
          <w:szCs w:val="32"/>
          <w:lang w:val="en-US" w:eastAsia="zh-CN" w:bidi="ar"/>
        </w:rPr>
        <w:t xml:space="preserve">于 </w:t>
      </w:r>
      <w:r>
        <w:rPr>
          <w:rFonts w:hint="eastAsia" w:ascii="仿宋" w:hAnsi="仿宋" w:cs="仿宋"/>
          <w:snapToGrid w:val="0"/>
          <w:color w:val="000000"/>
          <w:kern w:val="0"/>
          <w:sz w:val="32"/>
          <w:szCs w:val="32"/>
          <w:lang w:val="en-US" w:eastAsia="zh-CN" w:bidi="ar"/>
        </w:rPr>
        <w:t>10</w:t>
      </w:r>
      <w:r>
        <w:rPr>
          <w:rFonts w:hint="eastAsia" w:ascii="仿宋" w:hAnsi="仿宋" w:eastAsia="仿宋" w:cs="仿宋"/>
          <w:snapToGrid w:val="0"/>
          <w:color w:val="000000"/>
          <w:kern w:val="0"/>
          <w:sz w:val="32"/>
          <w:szCs w:val="32"/>
          <w:lang w:val="en-US" w:eastAsia="zh-CN" w:bidi="ar"/>
        </w:rPr>
        <w:t xml:space="preserve"> 月 </w:t>
      </w:r>
      <w:r>
        <w:rPr>
          <w:rFonts w:hint="eastAsia" w:ascii="仿宋" w:hAnsi="仿宋" w:cs="仿宋"/>
          <w:snapToGrid w:val="0"/>
          <w:color w:val="000000"/>
          <w:kern w:val="0"/>
          <w:sz w:val="32"/>
          <w:szCs w:val="32"/>
          <w:lang w:val="en-US" w:eastAsia="zh-CN" w:bidi="ar"/>
        </w:rPr>
        <w:t>26</w:t>
      </w:r>
      <w:r>
        <w:rPr>
          <w:rFonts w:hint="eastAsia" w:ascii="仿宋" w:hAnsi="仿宋" w:eastAsia="仿宋" w:cs="仿宋"/>
          <w:snapToGrid w:val="0"/>
          <w:color w:val="000000"/>
          <w:kern w:val="0"/>
          <w:sz w:val="32"/>
          <w:szCs w:val="32"/>
          <w:lang w:val="en-US" w:eastAsia="zh-CN" w:bidi="ar"/>
        </w:rPr>
        <w:t>日前将申请材料</w:t>
      </w:r>
      <w:r>
        <w:rPr>
          <w:rFonts w:hint="eastAsia" w:ascii="仿宋" w:hAnsi="仿宋" w:cs="仿宋"/>
          <w:snapToGrid w:val="0"/>
          <w:color w:val="000000"/>
          <w:kern w:val="0"/>
          <w:sz w:val="32"/>
          <w:szCs w:val="32"/>
          <w:lang w:val="en-US" w:eastAsia="zh-CN" w:bidi="ar"/>
        </w:rPr>
        <w:t>【</w:t>
      </w:r>
      <w:r>
        <w:rPr>
          <w:rFonts w:hint="eastAsia" w:ascii="仿宋" w:hAnsi="仿宋" w:eastAsia="仿宋" w:cs="仿宋"/>
          <w:snapToGrid w:val="0"/>
          <w:color w:val="000000"/>
          <w:kern w:val="0"/>
          <w:sz w:val="32"/>
          <w:szCs w:val="32"/>
          <w:lang w:val="en-US" w:eastAsia="zh-CN" w:bidi="ar"/>
        </w:rPr>
        <w:t>电子版、</w:t>
      </w:r>
      <w:r>
        <w:rPr>
          <w:rFonts w:hint="eastAsia" w:ascii="仿宋" w:hAnsi="仿宋" w:cs="仿宋"/>
          <w:snapToGrid w:val="0"/>
          <w:color w:val="000000"/>
          <w:kern w:val="0"/>
          <w:sz w:val="32"/>
          <w:szCs w:val="32"/>
          <w:lang w:val="en-US" w:eastAsia="zh-CN" w:bidi="ar"/>
        </w:rPr>
        <w:t>纸质版一式三份，同时通过</w:t>
      </w:r>
      <w:r>
        <w:rPr>
          <w:rFonts w:hint="eastAsia" w:ascii="仿宋" w:hAnsi="仿宋" w:eastAsia="仿宋" w:cs="仿宋"/>
          <w:snapToGrid w:val="0"/>
          <w:color w:val="000000"/>
          <w:kern w:val="0"/>
          <w:sz w:val="32"/>
          <w:szCs w:val="32"/>
          <w:lang w:val="en-US" w:eastAsia="zh-CN" w:bidi="ar"/>
        </w:rPr>
        <w:t>工业节能与绿色发展管理平台</w:t>
      </w:r>
      <w:r>
        <w:rPr>
          <w:rFonts w:hint="eastAsia" w:ascii="仿宋" w:hAnsi="仿宋" w:cs="仿宋"/>
          <w:snapToGrid w:val="0"/>
          <w:color w:val="000000"/>
          <w:kern w:val="0"/>
          <w:sz w:val="32"/>
          <w:szCs w:val="32"/>
          <w:lang w:val="en-US" w:eastAsia="zh-CN" w:bidi="ar"/>
        </w:rPr>
        <w:t>（</w:t>
      </w:r>
      <w:r>
        <w:rPr>
          <w:rFonts w:hint="eastAsia" w:ascii="仿宋" w:hAnsi="仿宋" w:eastAsia="仿宋" w:cs="仿宋"/>
          <w:snapToGrid w:val="0"/>
          <w:color w:val="000000"/>
          <w:kern w:val="0"/>
          <w:sz w:val="32"/>
          <w:szCs w:val="32"/>
          <w:lang w:val="en-US" w:eastAsia="zh-CN" w:bidi="ar"/>
        </w:rPr>
        <w:t>https://green.miit.gov.cn</w:t>
      </w:r>
      <w:r>
        <w:rPr>
          <w:rFonts w:hint="eastAsia" w:ascii="仿宋" w:hAnsi="仿宋" w:cs="仿宋"/>
          <w:snapToGrid w:val="0"/>
          <w:color w:val="000000"/>
          <w:kern w:val="0"/>
          <w:sz w:val="32"/>
          <w:szCs w:val="32"/>
          <w:lang w:val="en-US" w:eastAsia="zh-CN" w:bidi="ar"/>
        </w:rPr>
        <w:t>）</w:t>
      </w:r>
      <w:r>
        <w:rPr>
          <w:rFonts w:hint="eastAsia" w:ascii="仿宋" w:hAnsi="仿宋" w:eastAsia="仿宋" w:cs="仿宋"/>
          <w:snapToGrid w:val="0"/>
          <w:color w:val="000000"/>
          <w:kern w:val="0"/>
          <w:sz w:val="32"/>
          <w:szCs w:val="32"/>
          <w:lang w:val="en-US" w:eastAsia="zh-CN" w:bidi="ar"/>
        </w:rPr>
        <w:t>同步上传</w:t>
      </w:r>
      <w:r>
        <w:rPr>
          <w:rFonts w:hint="eastAsia" w:ascii="仿宋" w:hAnsi="仿宋" w:cs="仿宋"/>
          <w:snapToGrid w:val="0"/>
          <w:color w:val="000000"/>
          <w:kern w:val="0"/>
          <w:sz w:val="32"/>
          <w:szCs w:val="32"/>
          <w:lang w:val="en-US" w:eastAsia="zh-CN" w:bidi="ar"/>
        </w:rPr>
        <w:t>】及镇街推荐</w:t>
      </w:r>
      <w:r>
        <w:rPr>
          <w:rFonts w:hint="eastAsia" w:ascii="仿宋" w:hAnsi="仿宋" w:eastAsia="仿宋" w:cs="仿宋"/>
          <w:snapToGrid w:val="0"/>
          <w:color w:val="000000"/>
          <w:kern w:val="0"/>
          <w:sz w:val="32"/>
          <w:szCs w:val="32"/>
          <w:lang w:val="en-US" w:eastAsia="zh-CN" w:bidi="ar"/>
        </w:rPr>
        <w:t>意见报送至区工信</w:t>
      </w:r>
      <w:r>
        <w:rPr>
          <w:rFonts w:hint="eastAsia" w:ascii="仿宋" w:hAnsi="仿宋" w:cs="仿宋"/>
          <w:snapToGrid w:val="0"/>
          <w:color w:val="000000"/>
          <w:kern w:val="0"/>
          <w:sz w:val="32"/>
          <w:szCs w:val="32"/>
          <w:lang w:val="en-US" w:eastAsia="zh-CN" w:bidi="ar"/>
        </w:rPr>
        <w:t>和科技</w:t>
      </w:r>
      <w:r>
        <w:rPr>
          <w:rFonts w:hint="eastAsia" w:ascii="仿宋" w:hAnsi="仿宋" w:eastAsia="仿宋" w:cs="仿宋"/>
          <w:snapToGrid w:val="0"/>
          <w:color w:val="000000"/>
          <w:kern w:val="0"/>
          <w:sz w:val="32"/>
          <w:szCs w:val="32"/>
          <w:lang w:val="en-US" w:eastAsia="zh-CN" w:bidi="ar"/>
        </w:rPr>
        <w:t>局</w:t>
      </w:r>
      <w:r>
        <w:rPr>
          <w:rFonts w:hint="eastAsia" w:ascii="仿宋" w:hAnsi="仿宋" w:cs="仿宋"/>
          <w:snapToGrid w:val="0"/>
          <w:color w:val="000000"/>
          <w:kern w:val="0"/>
          <w:sz w:val="32"/>
          <w:szCs w:val="32"/>
          <w:lang w:val="en-US" w:eastAsia="zh-CN" w:bidi="ar"/>
        </w:rPr>
        <w:t>（协会服务部</w:t>
      </w:r>
      <w:r>
        <w:rPr>
          <w:rFonts w:hint="eastAsia" w:ascii="仿宋" w:hAnsi="仿宋" w:eastAsia="仿宋" w:cs="仿宋"/>
          <w:snapToGrid w:val="0"/>
          <w:color w:val="000000"/>
          <w:kern w:val="0"/>
          <w:sz w:val="32"/>
          <w:szCs w:val="32"/>
          <w:lang w:val="en-US" w:eastAsia="zh-CN" w:bidi="ar"/>
        </w:rPr>
        <w:t>70</w:t>
      </w:r>
      <w:r>
        <w:rPr>
          <w:rFonts w:hint="eastAsia" w:ascii="仿宋" w:hAnsi="仿宋" w:cs="仿宋"/>
          <w:snapToGrid w:val="0"/>
          <w:color w:val="000000"/>
          <w:kern w:val="0"/>
          <w:sz w:val="32"/>
          <w:szCs w:val="32"/>
          <w:lang w:val="en-US" w:eastAsia="zh-CN" w:bidi="ar"/>
        </w:rPr>
        <w:t>6</w:t>
      </w:r>
      <w:r>
        <w:rPr>
          <w:rFonts w:hint="eastAsia" w:ascii="仿宋" w:hAnsi="仿宋" w:eastAsia="仿宋" w:cs="仿宋"/>
          <w:snapToGrid w:val="0"/>
          <w:color w:val="000000"/>
          <w:kern w:val="0"/>
          <w:sz w:val="32"/>
          <w:szCs w:val="32"/>
          <w:lang w:val="en-US" w:eastAsia="zh-CN" w:bidi="ar"/>
        </w:rPr>
        <w:t>7室</w:t>
      </w:r>
      <w:r>
        <w:rPr>
          <w:rFonts w:hint="eastAsia" w:ascii="仿宋" w:hAnsi="仿宋" w:cs="仿宋"/>
          <w:snapToGrid w:val="0"/>
          <w:color w:val="000000"/>
          <w:kern w:val="0"/>
          <w:sz w:val="32"/>
          <w:szCs w:val="32"/>
          <w:lang w:val="en-US" w:eastAsia="zh-CN" w:bidi="ar"/>
        </w:rPr>
        <w:t>）</w:t>
      </w:r>
      <w:r>
        <w:rPr>
          <w:rFonts w:hint="eastAsia" w:ascii="仿宋" w:hAnsi="仿宋" w:eastAsia="仿宋" w:cs="仿宋"/>
          <w:snapToGrid w:val="0"/>
          <w:color w:val="000000"/>
          <w:kern w:val="0"/>
          <w:sz w:val="32"/>
          <w:szCs w:val="32"/>
          <w:lang w:val="en-US" w:eastAsia="zh-CN" w:bidi="ar"/>
        </w:rPr>
        <w:t>，</w:t>
      </w:r>
      <w:r>
        <w:rPr>
          <w:rFonts w:hint="eastAsia" w:ascii="仿宋" w:hAnsi="仿宋" w:cs="仿宋"/>
          <w:snapToGrid w:val="0"/>
          <w:color w:val="000000"/>
          <w:kern w:val="0"/>
          <w:sz w:val="32"/>
          <w:szCs w:val="32"/>
          <w:lang w:val="en-US" w:eastAsia="zh-CN" w:bidi="ar"/>
        </w:rPr>
        <w:t>逾期不再受理。</w:t>
      </w:r>
    </w:p>
    <w:p w14:paraId="796FB6EE">
      <w:pPr>
        <w:keepNext w:val="0"/>
        <w:keepLines w:val="0"/>
        <w:widowControl/>
        <w:suppressLineNumbers w:val="0"/>
        <w:spacing w:line="360" w:lineRule="auto"/>
        <w:ind w:firstLine="640" w:firstLineChars="200"/>
        <w:jc w:val="left"/>
        <w:rPr>
          <w:rFonts w:hint="eastAsia" w:ascii="仿宋" w:hAnsi="仿宋" w:cs="仿宋"/>
          <w:snapToGrid w:val="0"/>
          <w:color w:val="000000"/>
          <w:kern w:val="0"/>
          <w:sz w:val="32"/>
          <w:szCs w:val="32"/>
          <w:lang w:val="en-US" w:eastAsia="zh-CN" w:bidi="ar"/>
        </w:rPr>
      </w:pPr>
      <w:r>
        <w:rPr>
          <w:rFonts w:hint="eastAsia" w:ascii="仿宋" w:hAnsi="仿宋" w:eastAsia="仿宋" w:cs="仿宋"/>
          <w:snapToGrid w:val="0"/>
          <w:color w:val="000000"/>
          <w:kern w:val="0"/>
          <w:sz w:val="32"/>
          <w:szCs w:val="32"/>
          <w:lang w:val="en-US" w:eastAsia="zh-CN" w:bidi="ar"/>
        </w:rPr>
        <w:t>加强对已公告企业的事中事后监管，督促已公告企业开展年度自查，</w:t>
      </w:r>
      <w:r>
        <w:rPr>
          <w:rFonts w:hint="eastAsia" w:ascii="仿宋" w:hAnsi="仿宋" w:cs="仿宋"/>
          <w:snapToGrid w:val="0"/>
          <w:color w:val="000000"/>
          <w:kern w:val="0"/>
          <w:sz w:val="32"/>
          <w:szCs w:val="32"/>
          <w:lang w:val="en-US" w:eastAsia="zh-CN" w:bidi="ar"/>
        </w:rPr>
        <w:t>完成</w:t>
      </w:r>
      <w:r>
        <w:rPr>
          <w:rFonts w:hint="eastAsia" w:ascii="仿宋" w:hAnsi="仿宋" w:eastAsia="仿宋" w:cs="仿宋"/>
          <w:snapToGrid w:val="0"/>
          <w:color w:val="000000"/>
          <w:kern w:val="0"/>
          <w:sz w:val="32"/>
          <w:szCs w:val="32"/>
          <w:lang w:val="en-US" w:eastAsia="zh-CN" w:bidi="ar"/>
        </w:rPr>
        <w:t>规范（准入）条件执行情况和企业年度报告</w:t>
      </w:r>
      <w:r>
        <w:rPr>
          <w:rFonts w:hint="eastAsia" w:ascii="仿宋" w:hAnsi="仿宋" w:cs="仿宋"/>
          <w:snapToGrid w:val="0"/>
          <w:color w:val="000000"/>
          <w:kern w:val="0"/>
          <w:sz w:val="32"/>
          <w:szCs w:val="32"/>
          <w:lang w:val="en-US" w:eastAsia="zh-CN" w:bidi="ar"/>
        </w:rPr>
        <w:t>，企业年度报告应通过工业节能与绿色发展管理平台（</w:t>
      </w:r>
      <w:r>
        <w:rPr>
          <w:rFonts w:hint="eastAsia" w:ascii="仿宋" w:hAnsi="仿宋" w:eastAsia="仿宋" w:cs="仿宋"/>
          <w:snapToGrid w:val="0"/>
          <w:color w:val="000000"/>
          <w:kern w:val="0"/>
          <w:sz w:val="32"/>
          <w:szCs w:val="32"/>
          <w:lang w:val="en-US" w:eastAsia="zh-CN" w:bidi="ar"/>
        </w:rPr>
        <w:t>https://green.miit.gov.cn</w:t>
      </w:r>
      <w:r>
        <w:rPr>
          <w:rFonts w:hint="eastAsia" w:ascii="仿宋" w:hAnsi="仿宋" w:cs="仿宋"/>
          <w:snapToGrid w:val="0"/>
          <w:color w:val="000000"/>
          <w:kern w:val="0"/>
          <w:sz w:val="32"/>
          <w:szCs w:val="32"/>
          <w:lang w:val="en-US" w:eastAsia="zh-CN" w:bidi="ar"/>
        </w:rPr>
        <w:t>）报送。</w:t>
      </w:r>
    </w:p>
    <w:p w14:paraId="6C4F38DD">
      <w:pPr>
        <w:keepNext w:val="0"/>
        <w:keepLines w:val="0"/>
        <w:widowControl/>
        <w:suppressLineNumbers w:val="0"/>
        <w:spacing w:line="360" w:lineRule="auto"/>
        <w:ind w:firstLine="640" w:firstLineChars="200"/>
        <w:jc w:val="left"/>
        <w:rPr>
          <w:rFonts w:hint="default" w:ascii="仿宋" w:hAnsi="仿宋" w:cs="仿宋"/>
          <w:snapToGrid w:val="0"/>
          <w:color w:val="000000"/>
          <w:kern w:val="0"/>
          <w:sz w:val="32"/>
          <w:szCs w:val="32"/>
          <w:lang w:val="en-US" w:eastAsia="zh-CN" w:bidi="ar"/>
        </w:rPr>
      </w:pPr>
      <w:r>
        <w:rPr>
          <w:rFonts w:hint="eastAsia" w:ascii="仿宋" w:hAnsi="仿宋" w:cs="仿宋"/>
          <w:snapToGrid w:val="0"/>
          <w:color w:val="000000"/>
          <w:kern w:val="0"/>
          <w:sz w:val="32"/>
          <w:szCs w:val="32"/>
          <w:lang w:val="en-US" w:eastAsia="zh-CN" w:bidi="ar"/>
        </w:rPr>
        <w:t>附件：省工信厅</w:t>
      </w:r>
      <w:r>
        <w:rPr>
          <w:rFonts w:hint="eastAsia" w:ascii="仿宋" w:hAnsi="仿宋" w:eastAsia="仿宋" w:cs="仿宋"/>
          <w:b w:val="0"/>
          <w:bCs w:val="0"/>
          <w:snapToGrid w:val="0"/>
          <w:color w:val="000000"/>
          <w:kern w:val="0"/>
          <w:sz w:val="32"/>
          <w:szCs w:val="32"/>
          <w:lang w:val="en-US" w:eastAsia="zh-CN" w:bidi="ar"/>
        </w:rPr>
        <w:t>《关于组织开展2026年度再生资源综合利用行业规范条件企业申报并做好已公告企业事中事后监管工作的通知》</w:t>
      </w:r>
    </w:p>
    <w:p w14:paraId="52161D54">
      <w:pPr>
        <w:keepNext w:val="0"/>
        <w:keepLines w:val="0"/>
        <w:pageBreakBefore w:val="0"/>
        <w:widowControl/>
        <w:kinsoku w:val="0"/>
        <w:wordWrap/>
        <w:overflowPunct/>
        <w:topLinePunct w:val="0"/>
        <w:autoSpaceDE w:val="0"/>
        <w:autoSpaceDN w:val="0"/>
        <w:bidi w:val="0"/>
        <w:adjustRightInd w:val="0"/>
        <w:snapToGrid w:val="0"/>
        <w:spacing w:line="360" w:lineRule="auto"/>
        <w:ind w:firstLine="640" w:firstLineChars="200"/>
        <w:textAlignment w:val="baseline"/>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电话：83</w:t>
      </w:r>
      <w:r>
        <w:rPr>
          <w:rFonts w:hint="eastAsia" w:ascii="仿宋" w:hAnsi="仿宋" w:cs="仿宋"/>
          <w:sz w:val="32"/>
          <w:szCs w:val="32"/>
          <w:lang w:val="en-US" w:eastAsia="zh-CN"/>
        </w:rPr>
        <w:t>326078</w:t>
      </w:r>
    </w:p>
    <w:p w14:paraId="2D3F5C9A">
      <w:pPr>
        <w:keepNext w:val="0"/>
        <w:keepLines w:val="0"/>
        <w:pageBreakBefore w:val="0"/>
        <w:widowControl/>
        <w:kinsoku w:val="0"/>
        <w:wordWrap/>
        <w:overflowPunct/>
        <w:topLinePunct w:val="0"/>
        <w:autoSpaceDE w:val="0"/>
        <w:autoSpaceDN w:val="0"/>
        <w:bidi w:val="0"/>
        <w:adjustRightInd w:val="0"/>
        <w:snapToGrid w:val="0"/>
        <w:spacing w:line="360" w:lineRule="auto"/>
        <w:ind w:firstLine="640" w:firstLineChars="200"/>
        <w:textAlignment w:val="baseline"/>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邮箱：</w:t>
      </w:r>
      <w:r>
        <w:rPr>
          <w:rFonts w:hint="eastAsia" w:ascii="仿宋" w:hAnsi="仿宋" w:eastAsia="仿宋" w:cs="仿宋"/>
          <w:sz w:val="32"/>
          <w:szCs w:val="32"/>
          <w:lang w:val="en-US" w:eastAsia="zh-CN"/>
        </w:rPr>
        <w:fldChar w:fldCharType="begin"/>
      </w:r>
      <w:r>
        <w:rPr>
          <w:rFonts w:hint="eastAsia" w:ascii="仿宋" w:hAnsi="仿宋" w:eastAsia="仿宋" w:cs="仿宋"/>
          <w:sz w:val="32"/>
          <w:szCs w:val="32"/>
          <w:lang w:val="en-US" w:eastAsia="zh-CN"/>
        </w:rPr>
        <w:instrText xml:space="preserve"> HYPERLINK "mailto:jnzqjxjdqwrfz@jn.shandong.cn" </w:instrText>
      </w:r>
      <w:r>
        <w:rPr>
          <w:rFonts w:hint="eastAsia" w:ascii="仿宋" w:hAnsi="仿宋" w:eastAsia="仿宋" w:cs="仿宋"/>
          <w:sz w:val="32"/>
          <w:szCs w:val="32"/>
          <w:lang w:val="en-US" w:eastAsia="zh-CN"/>
        </w:rPr>
        <w:fldChar w:fldCharType="separate"/>
      </w:r>
      <w:r>
        <w:rPr>
          <w:rStyle w:val="4"/>
          <w:rFonts w:hint="eastAsia" w:ascii="仿宋" w:hAnsi="仿宋" w:eastAsia="仿宋" w:cs="仿宋"/>
          <w:sz w:val="32"/>
          <w:szCs w:val="32"/>
          <w:lang w:val="en-US" w:eastAsia="zh-CN"/>
        </w:rPr>
        <w:t>jnzqjxjdqwrfz@jn.shandong.cn</w:t>
      </w:r>
      <w:r>
        <w:rPr>
          <w:rFonts w:hint="eastAsia" w:ascii="仿宋" w:hAnsi="仿宋" w:eastAsia="仿宋" w:cs="仿宋"/>
          <w:sz w:val="32"/>
          <w:szCs w:val="32"/>
          <w:lang w:val="en-US" w:eastAsia="zh-CN"/>
        </w:rPr>
        <w:fldChar w:fldCharType="end"/>
      </w:r>
    </w:p>
    <w:p w14:paraId="201D6366">
      <w:pPr>
        <w:keepNext w:val="0"/>
        <w:keepLines w:val="0"/>
        <w:pageBreakBefore w:val="0"/>
        <w:widowControl/>
        <w:kinsoku w:val="0"/>
        <w:wordWrap/>
        <w:overflowPunct/>
        <w:topLinePunct w:val="0"/>
        <w:autoSpaceDE w:val="0"/>
        <w:autoSpaceDN w:val="0"/>
        <w:bidi w:val="0"/>
        <w:adjustRightInd w:val="0"/>
        <w:snapToGrid w:val="0"/>
        <w:spacing w:line="360" w:lineRule="auto"/>
        <w:ind w:firstLine="3200" w:firstLineChars="1000"/>
        <w:textAlignment w:val="baseline"/>
        <w:rPr>
          <w:rFonts w:hint="default" w:ascii="仿宋" w:hAnsi="仿宋" w:eastAsia="仿宋" w:cs="仿宋"/>
          <w:sz w:val="32"/>
          <w:szCs w:val="32"/>
          <w:lang w:val="en-US" w:eastAsia="zh-CN"/>
        </w:rPr>
      </w:pPr>
      <w:r>
        <w:rPr>
          <w:rFonts w:hint="eastAsia" w:ascii="仿宋" w:hAnsi="仿宋" w:cs="仿宋"/>
          <w:sz w:val="32"/>
          <w:szCs w:val="32"/>
          <w:lang w:val="en-US" w:eastAsia="zh-CN"/>
        </w:rPr>
        <w:t>济南市章</w:t>
      </w:r>
      <w:r>
        <w:rPr>
          <w:rFonts w:hint="eastAsia" w:ascii="仿宋" w:hAnsi="仿宋" w:eastAsia="仿宋" w:cs="仿宋"/>
          <w:sz w:val="32"/>
          <w:szCs w:val="32"/>
          <w:lang w:val="en-US" w:eastAsia="zh-CN"/>
        </w:rPr>
        <w:t>丘区</w:t>
      </w:r>
      <w:r>
        <w:rPr>
          <w:rFonts w:hint="eastAsia" w:ascii="仿宋" w:hAnsi="仿宋" w:cs="仿宋"/>
          <w:sz w:val="32"/>
          <w:szCs w:val="32"/>
          <w:lang w:val="en-US" w:eastAsia="zh-CN"/>
        </w:rPr>
        <w:t>工业信息化和科技局</w:t>
      </w:r>
    </w:p>
    <w:p w14:paraId="2D138056">
      <w:pPr>
        <w:keepNext w:val="0"/>
        <w:keepLines w:val="0"/>
        <w:pageBreakBefore w:val="0"/>
        <w:widowControl/>
        <w:kinsoku w:val="0"/>
        <w:wordWrap/>
        <w:overflowPunct/>
        <w:topLinePunct w:val="0"/>
        <w:autoSpaceDE w:val="0"/>
        <w:autoSpaceDN w:val="0"/>
        <w:bidi w:val="0"/>
        <w:adjustRightInd w:val="0"/>
        <w:snapToGrid w:val="0"/>
        <w:spacing w:line="360" w:lineRule="auto"/>
        <w:ind w:firstLine="5120" w:firstLineChars="1600"/>
        <w:textAlignment w:val="baseline"/>
        <w:rPr>
          <w:rFonts w:hint="eastAsia" w:ascii="仿宋" w:hAnsi="仿宋" w:eastAsia="仿宋" w:cs="仿宋"/>
          <w:sz w:val="32"/>
          <w:szCs w:val="32"/>
        </w:rPr>
      </w:pPr>
      <w:r>
        <w:rPr>
          <w:rFonts w:hint="eastAsia" w:ascii="仿宋" w:hAnsi="仿宋" w:cs="仿宋"/>
          <w:sz w:val="32"/>
          <w:szCs w:val="32"/>
          <w:lang w:val="en-US" w:eastAsia="zh-CN"/>
        </w:rPr>
        <w:t>2026年10月19日</w:t>
      </w:r>
    </w:p>
    <w:sectPr>
      <w:pgSz w:w="11906" w:h="16838"/>
      <w:pgMar w:top="986" w:right="1800" w:bottom="986"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IxZDJhOGIwNGQ5YWYwYTc3ZGI4YzVmY2VmY2E2YjgifQ=="/>
  </w:docVars>
  <w:rsids>
    <w:rsidRoot w:val="00000000"/>
    <w:rsid w:val="0C054391"/>
    <w:rsid w:val="11494E5B"/>
    <w:rsid w:val="2A373514"/>
    <w:rsid w:val="2CA629E2"/>
    <w:rsid w:val="2FB67708"/>
    <w:rsid w:val="3ABD1CDC"/>
    <w:rsid w:val="3FF772CC"/>
    <w:rsid w:val="441107E5"/>
    <w:rsid w:val="450958CD"/>
    <w:rsid w:val="4F6D4881"/>
    <w:rsid w:val="66DB1226"/>
    <w:rsid w:val="6D7A1CF4"/>
    <w:rsid w:val="729D1A86"/>
    <w:rsid w:val="732A52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kinsoku w:val="0"/>
      <w:autoSpaceDE w:val="0"/>
      <w:autoSpaceDN w:val="0"/>
      <w:adjustRightInd w:val="0"/>
      <w:snapToGrid w:val="0"/>
      <w:textAlignment w:val="baseline"/>
    </w:pPr>
    <w:rPr>
      <w:rFonts w:ascii="Times New Roman" w:hAnsi="Times New Roman" w:eastAsia="仿宋" w:cs="Times New Roman"/>
      <w:snapToGrid w:val="0"/>
      <w:sz w:val="21"/>
      <w:szCs w:val="21"/>
      <w:lang w:val="en-US" w:eastAsia="zh-CN" w:bidi="ar-SA"/>
    </w:rPr>
  </w:style>
  <w:style w:type="character" w:default="1" w:styleId="3">
    <w:name w:val="Default Paragraph Font"/>
    <w:semiHidden/>
    <w:qFormat/>
    <w:uiPriority w:val="0"/>
  </w:style>
  <w:style w:type="table" w:default="1" w:styleId="2">
    <w:name w:val="Normal Table"/>
    <w:autoRedefine/>
    <w:semiHidden/>
    <w:qFormat/>
    <w:uiPriority w:val="0"/>
    <w:tblPr>
      <w:tblCellMar>
        <w:top w:w="0" w:type="dxa"/>
        <w:left w:w="108" w:type="dxa"/>
        <w:bottom w:w="0" w:type="dxa"/>
        <w:right w:w="108" w:type="dxa"/>
      </w:tblCellMar>
    </w:tblPr>
  </w:style>
  <w:style w:type="character" w:styleId="4">
    <w:name w:val="Hyperlink"/>
    <w:basedOn w:val="3"/>
    <w:qFormat/>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396</Words>
  <Characters>497</Characters>
  <Lines>0</Lines>
  <Paragraphs>0</Paragraphs>
  <TotalTime>25</TotalTime>
  <ScaleCrop>false</ScaleCrop>
  <LinksUpToDate>false</LinksUpToDate>
  <CharactersWithSpaces>500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2024-03-21T03:15:00Z</dcterms:created>
  <dc:creator>Dell</dc:creator>
  <cp:lastModifiedBy>Maggie</cp:lastModifiedBy>
  <dcterms:modified xsi:type="dcterms:W3CDTF">2026-10-19T07:14:00Z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8013373F44F541D3BBC119E2EB459BCC_12</vt:lpwstr>
  </property>
  <property fmtid="{D5CDD505-2E9C-101B-9397-08002B2CF9AE}" pid="4" name="KSOTemplateDocerSaveRecord">
    <vt:lpwstr>eyJoZGlkIjoiYTQ4MjUwNGE4ZDA0YWU4MmRhNWM0NzhkNGQ0OWI4NzIiLCJ1c2VySWQiOiIzODI5ODY5NzgifQ==</vt:lpwstr>
  </property>
</Properties>
</file>